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9F6D43" w:rsidRDefault="009F6D43">
      <w:pPr>
        <w:rPr>
          <w:rFonts w:ascii="Times New Roman" w:eastAsia="Times New Roman" w:hAnsi="Times New Roman" w:cs="Times New Roman"/>
          <w:sz w:val="24"/>
          <w:szCs w:val="24"/>
          <w:highlight w:val="yellow"/>
        </w:rPr>
      </w:pPr>
    </w:p>
    <w:p w14:paraId="00000002" w14:textId="77777777" w:rsidR="009F6D43" w:rsidRDefault="009F6D43">
      <w:pPr>
        <w:rPr>
          <w:rFonts w:ascii="Times New Roman" w:eastAsia="Times New Roman" w:hAnsi="Times New Roman" w:cs="Times New Roman"/>
          <w:sz w:val="24"/>
          <w:szCs w:val="24"/>
          <w:highlight w:val="yellow"/>
        </w:rPr>
      </w:pPr>
    </w:p>
    <w:p w14:paraId="00000003" w14:textId="77777777" w:rsidR="009F6D4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yellow"/>
        </w:rPr>
        <w:t>Date</w:t>
      </w:r>
    </w:p>
    <w:p w14:paraId="00000004" w14:textId="77777777" w:rsidR="009F6D43" w:rsidRDefault="009F6D43">
      <w:pPr>
        <w:rPr>
          <w:rFonts w:ascii="Times New Roman" w:eastAsia="Times New Roman" w:hAnsi="Times New Roman" w:cs="Times New Roman"/>
          <w:sz w:val="24"/>
          <w:szCs w:val="24"/>
        </w:rPr>
      </w:pPr>
    </w:p>
    <w:p w14:paraId="65B4AF92" w14:textId="77777777" w:rsidR="00EC2535" w:rsidRDefault="00EC2535" w:rsidP="00EC2535">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Honorable Anna Caballero</w:t>
      </w:r>
    </w:p>
    <w:p w14:paraId="5FC06A6D" w14:textId="77777777" w:rsidR="00EC2535" w:rsidRDefault="00EC2535" w:rsidP="00EC2535">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Chair, Senate Appropriations Committee</w:t>
      </w:r>
    </w:p>
    <w:p w14:paraId="73BFB122" w14:textId="77777777" w:rsidR="00EC2535" w:rsidRDefault="00EC2535" w:rsidP="00EC2535">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State Capital 412</w:t>
      </w:r>
    </w:p>
    <w:p w14:paraId="1BFB67E1" w14:textId="77777777" w:rsidR="00EC2535" w:rsidRDefault="00EC2535" w:rsidP="00EC2535">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Sacramento, CA 95814</w:t>
      </w:r>
    </w:p>
    <w:p w14:paraId="00000009" w14:textId="77777777" w:rsidR="009F6D43" w:rsidRDefault="009F6D43">
      <w:pPr>
        <w:rPr>
          <w:rFonts w:ascii="Times New Roman" w:eastAsia="Times New Roman" w:hAnsi="Times New Roman" w:cs="Times New Roman"/>
          <w:b/>
          <w:sz w:val="24"/>
          <w:szCs w:val="24"/>
        </w:rPr>
      </w:pPr>
    </w:p>
    <w:p w14:paraId="0000000A" w14:textId="77777777" w:rsidR="009F6D4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  </w:t>
      </w:r>
      <w:r>
        <w:rPr>
          <w:rFonts w:ascii="Times New Roman" w:eastAsia="Times New Roman" w:hAnsi="Times New Roman" w:cs="Times New Roman"/>
          <w:b/>
          <w:sz w:val="24"/>
          <w:szCs w:val="24"/>
        </w:rPr>
        <w:tab/>
        <w:t>AB 1961 (Wicks): End Hunger in California Act of 2024- SUPPORT</w:t>
      </w:r>
    </w:p>
    <w:p w14:paraId="0000000B" w14:textId="77777777" w:rsidR="009F6D43" w:rsidRDefault="009F6D43">
      <w:pPr>
        <w:rPr>
          <w:rFonts w:ascii="Times New Roman" w:eastAsia="Times New Roman" w:hAnsi="Times New Roman" w:cs="Times New Roman"/>
          <w:sz w:val="24"/>
          <w:szCs w:val="24"/>
        </w:rPr>
      </w:pPr>
    </w:p>
    <w:p w14:paraId="0000000C" w14:textId="514B087C" w:rsidR="009F6D4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Dear </w:t>
      </w:r>
      <w:r w:rsidR="00EC2535">
        <w:rPr>
          <w:rFonts w:ascii="Times New Roman" w:eastAsia="Times New Roman" w:hAnsi="Times New Roman" w:cs="Times New Roman"/>
          <w:sz w:val="24"/>
          <w:szCs w:val="24"/>
        </w:rPr>
        <w:t>Chair Caballero</w:t>
      </w:r>
      <w:r>
        <w:rPr>
          <w:rFonts w:ascii="Times New Roman" w:eastAsia="Times New Roman" w:hAnsi="Times New Roman" w:cs="Times New Roman"/>
          <w:sz w:val="24"/>
          <w:szCs w:val="24"/>
        </w:rPr>
        <w:t>:</w:t>
      </w:r>
    </w:p>
    <w:p w14:paraId="0000000D" w14:textId="77777777" w:rsidR="009F6D43" w:rsidRDefault="009F6D43">
      <w:pPr>
        <w:rPr>
          <w:rFonts w:ascii="Times New Roman" w:eastAsia="Times New Roman" w:hAnsi="Times New Roman" w:cs="Times New Roman"/>
          <w:sz w:val="24"/>
          <w:szCs w:val="24"/>
        </w:rPr>
      </w:pPr>
    </w:p>
    <w:p w14:paraId="0000000E" w14:textId="77777777" w:rsidR="009F6D4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highlight w:val="yellow"/>
        </w:rPr>
        <w:t>(insert organization)</w:t>
      </w:r>
      <w:r>
        <w:rPr>
          <w:rFonts w:ascii="Times New Roman" w:eastAsia="Times New Roman" w:hAnsi="Times New Roman" w:cs="Times New Roman"/>
          <w:sz w:val="24"/>
          <w:szCs w:val="24"/>
        </w:rPr>
        <w:t xml:space="preserve"> is proud to support and thank you for authoring AB 1961, the End Hunger in California Act of 2024. The Act requires the development of a strategic masterplan to end hunger in California by establishing a task force of food system stakeholders to collaborate at the local, regional, and state levels and in partnership with tribal governments on ways to remove barriers to access adequate, nutritious, and culturally appropriate food for all communities in California. </w:t>
      </w:r>
    </w:p>
    <w:p w14:paraId="0000000F" w14:textId="77777777" w:rsidR="009F6D43" w:rsidRDefault="009F6D43">
      <w:pPr>
        <w:jc w:val="both"/>
        <w:rPr>
          <w:rFonts w:ascii="Times New Roman" w:eastAsia="Times New Roman" w:hAnsi="Times New Roman" w:cs="Times New Roman"/>
          <w:sz w:val="24"/>
          <w:szCs w:val="24"/>
        </w:rPr>
      </w:pPr>
    </w:p>
    <w:p w14:paraId="00000010" w14:textId="77777777" w:rsidR="009F6D4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California is the fifth largest food supplier, producing nearly half of the nation's fruits and vegetables</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 20% of the country’s rice harvest</w:t>
      </w:r>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rPr>
        <w:t>, and is the second largest producer of cheese in the nation.</w:t>
      </w:r>
      <w:r>
        <w:rPr>
          <w:rFonts w:ascii="Times New Roman" w:eastAsia="Times New Roman" w:hAnsi="Times New Roman" w:cs="Times New Roman"/>
          <w:sz w:val="24"/>
          <w:szCs w:val="24"/>
          <w:vertAlign w:val="superscript"/>
        </w:rPr>
        <w:footnoteReference w:id="3"/>
      </w:r>
      <w:r>
        <w:rPr>
          <w:rFonts w:ascii="Times New Roman" w:eastAsia="Times New Roman" w:hAnsi="Times New Roman" w:cs="Times New Roman"/>
          <w:sz w:val="24"/>
          <w:szCs w:val="24"/>
        </w:rPr>
        <w:t xml:space="preserve"> However, more than 1 in 5 Californians, about 8.8 million people, currently struggles with food insecurity which is the limited or uncertain access to enough food to lead a healthy, active life.</w:t>
      </w:r>
      <w:r>
        <w:rPr>
          <w:rFonts w:ascii="Times New Roman" w:eastAsia="Times New Roman" w:hAnsi="Times New Roman" w:cs="Times New Roman"/>
          <w:sz w:val="24"/>
          <w:szCs w:val="24"/>
          <w:vertAlign w:val="superscript"/>
        </w:rPr>
        <w:footnoteReference w:id="4"/>
      </w:r>
      <w:r>
        <w:rPr>
          <w:rFonts w:ascii="Times New Roman" w:eastAsia="Times New Roman" w:hAnsi="Times New Roman" w:cs="Times New Roman"/>
          <w:sz w:val="24"/>
          <w:szCs w:val="24"/>
        </w:rPr>
        <w:t xml:space="preserve"> </w:t>
      </w:r>
    </w:p>
    <w:p w14:paraId="00000011" w14:textId="77777777" w:rsidR="009F6D43" w:rsidRDefault="009F6D43">
      <w:pPr>
        <w:jc w:val="both"/>
        <w:rPr>
          <w:rFonts w:ascii="Times New Roman" w:eastAsia="Times New Roman" w:hAnsi="Times New Roman" w:cs="Times New Roman"/>
          <w:sz w:val="24"/>
          <w:szCs w:val="24"/>
        </w:rPr>
      </w:pPr>
    </w:p>
    <w:p w14:paraId="00000012" w14:textId="77777777" w:rsidR="009F6D43" w:rsidRDefault="00000000">
      <w:pPr>
        <w:jc w:val="both"/>
        <w:rPr>
          <w:rFonts w:ascii="Times New Roman" w:eastAsia="Times New Roman" w:hAnsi="Times New Roman" w:cs="Times New Roman"/>
          <w:sz w:val="24"/>
          <w:szCs w:val="24"/>
        </w:rPr>
      </w:pPr>
      <w:bookmarkStart w:id="0" w:name="_heading=h.gjdgxs" w:colFirst="0" w:colLast="0"/>
      <w:bookmarkEnd w:id="0"/>
      <w:r>
        <w:rPr>
          <w:rFonts w:ascii="Times New Roman" w:eastAsia="Times New Roman" w:hAnsi="Times New Roman" w:cs="Times New Roman"/>
          <w:sz w:val="24"/>
          <w:szCs w:val="24"/>
        </w:rPr>
        <w:t>Hunger and lack of access to nutritious food are exacerbated by racial and economic inequities, with 40% of Black households and 30% of Latino households being food insecure in California.</w:t>
      </w:r>
      <w:r>
        <w:rPr>
          <w:rFonts w:ascii="Times New Roman" w:eastAsia="Times New Roman" w:hAnsi="Times New Roman" w:cs="Times New Roman"/>
          <w:sz w:val="24"/>
          <w:szCs w:val="24"/>
          <w:vertAlign w:val="superscript"/>
        </w:rPr>
        <w:footnoteReference w:id="5"/>
      </w:r>
      <w:r>
        <w:rPr>
          <w:rFonts w:ascii="Times New Roman" w:eastAsia="Times New Roman" w:hAnsi="Times New Roman" w:cs="Times New Roman"/>
          <w:sz w:val="24"/>
          <w:szCs w:val="24"/>
        </w:rPr>
        <w:t xml:space="preserve"> Additionally, in Los Angeles County alone, 23% of Asian American, Native Hawaiian, and other Pacific Islander residents live in food-insecure households. Furthermore, a staggering 92% of </w:t>
      </w:r>
      <w:r>
        <w:rPr>
          <w:rFonts w:ascii="Times New Roman" w:eastAsia="Times New Roman" w:hAnsi="Times New Roman" w:cs="Times New Roman"/>
          <w:sz w:val="24"/>
          <w:szCs w:val="24"/>
        </w:rPr>
        <w:lastRenderedPageBreak/>
        <w:t>Native American households suffer from food insecurity, according to a study of four tribes across Northern California.</w:t>
      </w:r>
      <w:r>
        <w:rPr>
          <w:rFonts w:ascii="Times New Roman" w:eastAsia="Times New Roman" w:hAnsi="Times New Roman" w:cs="Times New Roman"/>
          <w:sz w:val="24"/>
          <w:szCs w:val="24"/>
          <w:vertAlign w:val="superscript"/>
        </w:rPr>
        <w:footnoteReference w:id="6"/>
      </w:r>
    </w:p>
    <w:p w14:paraId="00000013" w14:textId="77777777" w:rsidR="009F6D43" w:rsidRDefault="009F6D43">
      <w:pPr>
        <w:jc w:val="both"/>
        <w:rPr>
          <w:rFonts w:ascii="Times New Roman" w:eastAsia="Times New Roman" w:hAnsi="Times New Roman" w:cs="Times New Roman"/>
          <w:sz w:val="24"/>
          <w:szCs w:val="24"/>
        </w:rPr>
      </w:pPr>
    </w:p>
    <w:p w14:paraId="00000014" w14:textId="77777777" w:rsidR="009F6D4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Sadly ironic, the workers who grow and deliver food face higher levels of food insecurity than the rest of the U.S. workforce</w:t>
      </w:r>
      <w:r>
        <w:rPr>
          <w:rFonts w:ascii="Times New Roman" w:eastAsia="Times New Roman" w:hAnsi="Times New Roman" w:cs="Times New Roman"/>
          <w:sz w:val="24"/>
          <w:szCs w:val="24"/>
          <w:vertAlign w:val="superscript"/>
        </w:rPr>
        <w:footnoteReference w:id="7"/>
      </w:r>
      <w:r>
        <w:rPr>
          <w:rFonts w:ascii="Times New Roman" w:eastAsia="Times New Roman" w:hAnsi="Times New Roman" w:cs="Times New Roman"/>
          <w:sz w:val="24"/>
          <w:szCs w:val="24"/>
        </w:rPr>
        <w:t>. Even though food surrounds grocery workers, over three-quarters of Kroger grocery workers are food insecure based on the U.S Department of Agriculture food security assessment tool, seven times higher than the US average. During the COVID-19 pandemic, 72% of agricultural workers reported trouble paying for food</w:t>
      </w:r>
      <w:r>
        <w:rPr>
          <w:rFonts w:ascii="Times New Roman" w:eastAsia="Times New Roman" w:hAnsi="Times New Roman" w:cs="Times New Roman"/>
          <w:sz w:val="24"/>
          <w:szCs w:val="24"/>
          <w:vertAlign w:val="superscript"/>
        </w:rPr>
        <w:footnoteReference w:id="8"/>
      </w:r>
      <w:r>
        <w:rPr>
          <w:rFonts w:ascii="Times New Roman" w:eastAsia="Times New Roman" w:hAnsi="Times New Roman" w:cs="Times New Roman"/>
          <w:sz w:val="24"/>
          <w:szCs w:val="24"/>
        </w:rPr>
        <w:t xml:space="preserve">. In a 2021 survey of almost 120 small farmers across the state, 49% of Black, Indigenous, and People of Color farmers experienced food insecurity, needing food from a food bank and/or needing or would have benefited from </w:t>
      </w:r>
      <w:proofErr w:type="spellStart"/>
      <w:r>
        <w:rPr>
          <w:rFonts w:ascii="Times New Roman" w:eastAsia="Times New Roman" w:hAnsi="Times New Roman" w:cs="Times New Roman"/>
          <w:sz w:val="24"/>
          <w:szCs w:val="24"/>
        </w:rPr>
        <w:t>CalFresh</w:t>
      </w:r>
      <w:proofErr w:type="spellEnd"/>
      <w:r>
        <w:rPr>
          <w:rFonts w:ascii="Times New Roman" w:eastAsia="Times New Roman" w:hAnsi="Times New Roman" w:cs="Times New Roman"/>
          <w:sz w:val="24"/>
          <w:szCs w:val="24"/>
        </w:rPr>
        <w:t xml:space="preserve"> benefits. The majority of these farmworkers, food industry workers, and food service providers are people of color, undocumented, or live in mixed immigration status families, with 1/5 of farmers in California identifying as Black, Indigenous, and People of Color. </w:t>
      </w:r>
    </w:p>
    <w:p w14:paraId="00000015" w14:textId="77777777" w:rsidR="009F6D43" w:rsidRDefault="009F6D43">
      <w:pPr>
        <w:jc w:val="both"/>
        <w:rPr>
          <w:rFonts w:ascii="Times New Roman" w:eastAsia="Times New Roman" w:hAnsi="Times New Roman" w:cs="Times New Roman"/>
          <w:sz w:val="24"/>
          <w:szCs w:val="24"/>
        </w:rPr>
      </w:pPr>
    </w:p>
    <w:p w14:paraId="00000016" w14:textId="77777777" w:rsidR="009F6D4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Commonly referred to as food deserts, these areas are regions of the country where at least one-third of the area’s population is living more than a half-mile away from the closest supermarket or large grocery store, and large proportions of households are low-income, have inadequate access to transportation, and a limited number of food retailers providing fresh produce and healthy groceries for affordable prices.</w:t>
      </w:r>
      <w:r>
        <w:rPr>
          <w:rFonts w:ascii="Times New Roman" w:eastAsia="Times New Roman" w:hAnsi="Times New Roman" w:cs="Times New Roman"/>
          <w:sz w:val="24"/>
          <w:szCs w:val="24"/>
          <w:vertAlign w:val="superscript"/>
        </w:rPr>
        <w:footnoteReference w:id="9"/>
      </w:r>
      <w:r>
        <w:rPr>
          <w:rFonts w:ascii="Times New Roman" w:eastAsia="Times New Roman" w:hAnsi="Times New Roman" w:cs="Times New Roman"/>
          <w:sz w:val="24"/>
          <w:szCs w:val="24"/>
        </w:rPr>
        <w:t xml:space="preserve"> In 2021, 65% of neighborhoods in the San Francisco and San Jose metro areas were considered food deserts, meaning 600 neighborhoods in the San Francisco metro area and 289 neighborhoods in the San Jose metro area have low food access.</w:t>
      </w:r>
      <w:r>
        <w:rPr>
          <w:rFonts w:ascii="Times New Roman" w:eastAsia="Times New Roman" w:hAnsi="Times New Roman" w:cs="Times New Roman"/>
          <w:sz w:val="24"/>
          <w:szCs w:val="24"/>
          <w:vertAlign w:val="superscript"/>
        </w:rPr>
        <w:footnoteReference w:id="10"/>
      </w:r>
      <w:r>
        <w:rPr>
          <w:rFonts w:ascii="Times New Roman" w:eastAsia="Times New Roman" w:hAnsi="Times New Roman" w:cs="Times New Roman"/>
          <w:sz w:val="24"/>
          <w:szCs w:val="24"/>
        </w:rPr>
        <w:t xml:space="preserve"> In Fresno, where there is an abundance of fresh produce growing at local farms, over 20% of residents live in food deserts and travel long distances to find a grocery store that offers fresh fruits and vegetables.</w:t>
      </w:r>
      <w:r>
        <w:rPr>
          <w:rFonts w:ascii="Times New Roman" w:eastAsia="Times New Roman" w:hAnsi="Times New Roman" w:cs="Times New Roman"/>
          <w:sz w:val="24"/>
          <w:szCs w:val="24"/>
          <w:vertAlign w:val="superscript"/>
        </w:rPr>
        <w:footnoteReference w:id="11"/>
      </w:r>
      <w:r>
        <w:rPr>
          <w:rFonts w:ascii="Times New Roman" w:eastAsia="Times New Roman" w:hAnsi="Times New Roman" w:cs="Times New Roman"/>
          <w:sz w:val="24"/>
          <w:szCs w:val="24"/>
        </w:rPr>
        <w:t xml:space="preserve"> </w:t>
      </w:r>
    </w:p>
    <w:p w14:paraId="00000017" w14:textId="77777777" w:rsidR="009F6D43" w:rsidRDefault="009F6D43">
      <w:pPr>
        <w:jc w:val="both"/>
        <w:rPr>
          <w:rFonts w:ascii="Times New Roman" w:eastAsia="Times New Roman" w:hAnsi="Times New Roman" w:cs="Times New Roman"/>
          <w:sz w:val="24"/>
          <w:szCs w:val="24"/>
          <w:highlight w:val="white"/>
        </w:rPr>
      </w:pPr>
    </w:p>
    <w:p w14:paraId="00000018" w14:textId="77777777" w:rsidR="009F6D43" w:rsidRDefault="0000000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Food desert communities lack the resources to attract large grocery store chains, leaving residents with convenience stores and fast-food restaurants as their primary food sources. According to the Human League, grocery store owners avoid opening shop in food deserts because market research suggests more affluent areas are more profitable. Some common characteristics across food deserts- smaller populations, lower rates of employment, higher rates of poverty- are the same characteristics that scare off retailers.</w:t>
      </w:r>
      <w:r>
        <w:rPr>
          <w:rFonts w:ascii="Times New Roman" w:eastAsia="Times New Roman" w:hAnsi="Times New Roman" w:cs="Times New Roman"/>
          <w:sz w:val="24"/>
          <w:szCs w:val="24"/>
          <w:highlight w:val="white"/>
          <w:vertAlign w:val="superscript"/>
        </w:rPr>
        <w:footnoteReference w:id="12"/>
      </w:r>
      <w:r>
        <w:rPr>
          <w:rFonts w:ascii="Times New Roman" w:eastAsia="Times New Roman" w:hAnsi="Times New Roman" w:cs="Times New Roman"/>
          <w:sz w:val="24"/>
          <w:szCs w:val="24"/>
          <w:highlight w:val="white"/>
        </w:rPr>
        <w:t xml:space="preserve"> Limited transportation options further compound the problem, making it difficult for residents to access healthier foods</w:t>
      </w:r>
      <w:r>
        <w:rPr>
          <w:rFonts w:ascii="Times New Roman" w:eastAsia="Times New Roman" w:hAnsi="Times New Roman" w:cs="Times New Roman"/>
          <w:sz w:val="24"/>
          <w:szCs w:val="24"/>
        </w:rPr>
        <w:t xml:space="preserve">. However, it is not just lack of access to food that is driving families to experience hunger. The cost of food has significantly increased – it has been over 30 years since food was this expensive, and consumers now spend </w:t>
      </w:r>
      <w:r>
        <w:rPr>
          <w:rFonts w:ascii="Times New Roman" w:eastAsia="Times New Roman" w:hAnsi="Times New Roman" w:cs="Times New Roman"/>
          <w:sz w:val="24"/>
          <w:szCs w:val="24"/>
        </w:rPr>
        <w:lastRenderedPageBreak/>
        <w:t>over 11.3% of their disposable income on food.</w:t>
      </w:r>
      <w:r>
        <w:rPr>
          <w:rFonts w:ascii="Times New Roman" w:eastAsia="Times New Roman" w:hAnsi="Times New Roman" w:cs="Times New Roman"/>
          <w:sz w:val="24"/>
          <w:szCs w:val="24"/>
          <w:vertAlign w:val="superscript"/>
        </w:rPr>
        <w:footnoteReference w:id="13"/>
      </w:r>
      <w:r>
        <w:rPr>
          <w:rFonts w:ascii="Times New Roman" w:eastAsia="Times New Roman" w:hAnsi="Times New Roman" w:cs="Times New Roman"/>
          <w:sz w:val="24"/>
          <w:szCs w:val="24"/>
        </w:rPr>
        <w:t xml:space="preserve"> In 2022, food prices increased by 9.9%, faster than any year since 1979. In 2023, food prices increased by 5.8%.</w:t>
      </w:r>
      <w:r>
        <w:rPr>
          <w:rFonts w:ascii="Times New Roman" w:eastAsia="Times New Roman" w:hAnsi="Times New Roman" w:cs="Times New Roman"/>
          <w:sz w:val="24"/>
          <w:szCs w:val="24"/>
          <w:vertAlign w:val="superscript"/>
        </w:rPr>
        <w:footnoteReference w:id="14"/>
      </w:r>
      <w:r>
        <w:rPr>
          <w:rFonts w:ascii="Times New Roman" w:eastAsia="Times New Roman" w:hAnsi="Times New Roman" w:cs="Times New Roman"/>
          <w:sz w:val="24"/>
          <w:szCs w:val="24"/>
        </w:rPr>
        <w:t xml:space="preserve"> Today, food prices remain 19% more expensive than before the pandemic.</w:t>
      </w:r>
      <w:r>
        <w:rPr>
          <w:rFonts w:ascii="Times New Roman" w:eastAsia="Times New Roman" w:hAnsi="Times New Roman" w:cs="Times New Roman"/>
          <w:sz w:val="24"/>
          <w:szCs w:val="24"/>
          <w:vertAlign w:val="superscript"/>
        </w:rPr>
        <w:footnoteReference w:id="15"/>
      </w:r>
      <w:r>
        <w:rPr>
          <w:rFonts w:ascii="Times New Roman" w:eastAsia="Times New Roman" w:hAnsi="Times New Roman" w:cs="Times New Roman"/>
          <w:sz w:val="24"/>
          <w:szCs w:val="24"/>
        </w:rPr>
        <w:t xml:space="preserve"> </w:t>
      </w:r>
    </w:p>
    <w:p w14:paraId="00000019" w14:textId="77777777" w:rsidR="009F6D43" w:rsidRDefault="009F6D43">
      <w:pPr>
        <w:jc w:val="both"/>
        <w:rPr>
          <w:rFonts w:ascii="Times New Roman" w:eastAsia="Times New Roman" w:hAnsi="Times New Roman" w:cs="Times New Roman"/>
          <w:sz w:val="24"/>
          <w:szCs w:val="24"/>
        </w:rPr>
      </w:pPr>
    </w:p>
    <w:p w14:paraId="0000001A" w14:textId="77777777" w:rsidR="009F6D4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Meanwhile, California continues to lag in maximizing participation in many federal nutrition programs. Most notably, California ranks nearly last in enrolling likely eligible families into </w:t>
      </w:r>
      <w:proofErr w:type="spellStart"/>
      <w:r>
        <w:rPr>
          <w:rFonts w:ascii="Times New Roman" w:eastAsia="Times New Roman" w:hAnsi="Times New Roman" w:cs="Times New Roman"/>
          <w:sz w:val="24"/>
          <w:szCs w:val="24"/>
        </w:rPr>
        <w:t>CalFresh</w:t>
      </w:r>
      <w:proofErr w:type="spellEnd"/>
      <w:r>
        <w:rPr>
          <w:rFonts w:ascii="Times New Roman" w:eastAsia="Times New Roman" w:hAnsi="Times New Roman" w:cs="Times New Roman"/>
          <w:sz w:val="24"/>
          <w:szCs w:val="24"/>
        </w:rPr>
        <w:t xml:space="preserve"> at 71%, the nation’s largest and best anti-hunger program, including for key populations like older adults and working families.</w:t>
      </w:r>
      <w:r>
        <w:rPr>
          <w:rFonts w:ascii="Times New Roman" w:eastAsia="Times New Roman" w:hAnsi="Times New Roman" w:cs="Times New Roman"/>
          <w:sz w:val="24"/>
          <w:szCs w:val="24"/>
          <w:vertAlign w:val="superscript"/>
        </w:rPr>
        <w:footnoteReference w:id="16"/>
      </w:r>
      <w:r>
        <w:rPr>
          <w:rFonts w:ascii="Times New Roman" w:eastAsia="Times New Roman" w:hAnsi="Times New Roman" w:cs="Times New Roman"/>
          <w:sz w:val="24"/>
          <w:szCs w:val="24"/>
        </w:rPr>
        <w:t xml:space="preserve"> This not only sets back efforts to end hunger, but is a significant loss for California’s vital food economy – every $1 in federally-funded </w:t>
      </w:r>
      <w:proofErr w:type="spellStart"/>
      <w:r>
        <w:rPr>
          <w:rFonts w:ascii="Times New Roman" w:eastAsia="Times New Roman" w:hAnsi="Times New Roman" w:cs="Times New Roman"/>
          <w:sz w:val="24"/>
          <w:szCs w:val="24"/>
        </w:rPr>
        <w:t>CalFresh</w:t>
      </w:r>
      <w:proofErr w:type="spellEnd"/>
      <w:r>
        <w:rPr>
          <w:rFonts w:ascii="Times New Roman" w:eastAsia="Times New Roman" w:hAnsi="Times New Roman" w:cs="Times New Roman"/>
          <w:sz w:val="24"/>
          <w:szCs w:val="24"/>
        </w:rPr>
        <w:t xml:space="preserve"> benefits generates as much as $1.80 in economic activity as benefits are spent in stores, and every $1 billion in benefits creates more than 10,000 jobs for farm workers, transportation, retail, and throughout the sector.</w:t>
      </w:r>
      <w:r>
        <w:rPr>
          <w:rFonts w:ascii="Times New Roman" w:eastAsia="Times New Roman" w:hAnsi="Times New Roman" w:cs="Times New Roman"/>
          <w:sz w:val="24"/>
          <w:szCs w:val="24"/>
          <w:vertAlign w:val="superscript"/>
        </w:rPr>
        <w:footnoteReference w:id="17"/>
      </w:r>
      <w:r>
        <w:rPr>
          <w:rFonts w:ascii="Times New Roman" w:eastAsia="Times New Roman" w:hAnsi="Times New Roman" w:cs="Times New Roman"/>
          <w:sz w:val="24"/>
          <w:szCs w:val="24"/>
        </w:rPr>
        <w:t xml:space="preserve"> Participation in WIC is even lower, estimated to be at 65%.</w:t>
      </w:r>
      <w:r>
        <w:rPr>
          <w:rFonts w:ascii="Times New Roman" w:eastAsia="Times New Roman" w:hAnsi="Times New Roman" w:cs="Times New Roman"/>
          <w:sz w:val="24"/>
          <w:szCs w:val="24"/>
          <w:vertAlign w:val="superscript"/>
        </w:rPr>
        <w:footnoteReference w:id="18"/>
      </w:r>
      <w:r>
        <w:rPr>
          <w:rFonts w:ascii="Times New Roman" w:eastAsia="Times New Roman" w:hAnsi="Times New Roman" w:cs="Times New Roman"/>
          <w:sz w:val="24"/>
          <w:szCs w:val="24"/>
        </w:rPr>
        <w:t xml:space="preserve"> The opposite is the case for school meals for all, which by law must maximize federal provisions and resources. California is one of the few states that has seen increases in school meal participation because of the 2-meal guarantee of a school breakfast and lunch for any student.</w:t>
      </w:r>
      <w:r>
        <w:rPr>
          <w:rFonts w:ascii="Times New Roman" w:eastAsia="Times New Roman" w:hAnsi="Times New Roman" w:cs="Times New Roman"/>
          <w:sz w:val="24"/>
          <w:szCs w:val="24"/>
          <w:vertAlign w:val="superscript"/>
        </w:rPr>
        <w:footnoteReference w:id="19"/>
      </w:r>
      <w:r>
        <w:rPr>
          <w:rFonts w:ascii="Times New Roman" w:eastAsia="Times New Roman" w:hAnsi="Times New Roman" w:cs="Times New Roman"/>
          <w:sz w:val="24"/>
          <w:szCs w:val="24"/>
        </w:rPr>
        <w:t xml:space="preserve"> The Summer EBT program coming online for summer 2024 is the first new federal entitlement in a generation, with more than 5 million children estimated to be eligible, yes some 30% will need to apply to receive their $120 in federally funded summer food aid. Any plan to end hunger must maximize all available federal resources. </w:t>
      </w:r>
    </w:p>
    <w:p w14:paraId="0000001B" w14:textId="77777777" w:rsidR="009F6D43" w:rsidRDefault="009F6D43">
      <w:pPr>
        <w:jc w:val="both"/>
        <w:rPr>
          <w:rFonts w:ascii="Times New Roman" w:eastAsia="Times New Roman" w:hAnsi="Times New Roman" w:cs="Times New Roman"/>
          <w:sz w:val="24"/>
          <w:szCs w:val="24"/>
        </w:rPr>
      </w:pPr>
    </w:p>
    <w:p w14:paraId="0000001C" w14:textId="77777777" w:rsidR="009F6D43" w:rsidRDefault="0000000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Lack of access to nutritious food can have disastrous consequences for children and adults. Research shows an association between food insecurity and delayed development in young children, risk of chronic illnesses, and behavioral problems like hyperactivity, anxiety, and aggression in school-age children.</w:t>
      </w:r>
      <w:r>
        <w:rPr>
          <w:rFonts w:ascii="Times New Roman" w:eastAsia="Times New Roman" w:hAnsi="Times New Roman" w:cs="Times New Roman"/>
          <w:sz w:val="24"/>
          <w:szCs w:val="24"/>
          <w:vertAlign w:val="superscript"/>
        </w:rPr>
        <w:footnoteReference w:id="20"/>
      </w:r>
      <w:r>
        <w:rPr>
          <w:rFonts w:ascii="Times New Roman" w:eastAsia="Times New Roman" w:hAnsi="Times New Roman" w:cs="Times New Roman"/>
          <w:sz w:val="24"/>
          <w:szCs w:val="24"/>
        </w:rPr>
        <w:t xml:space="preserve"> Children can be affected by hunger even before they are born. Low prenatal iron levels have been linked to challenges with language comprehension, measurable development delays, and preventing children from succeeding in the classroom. Researchers have also found that childhood hunger is a predictor of depression in adolescence and young adulthood and may also play a part in contributing to mood, behavior, and substance abuse disorders. Hunger </w:t>
      </w:r>
      <w:r>
        <w:rPr>
          <w:rFonts w:ascii="Times New Roman" w:eastAsia="Times New Roman" w:hAnsi="Times New Roman" w:cs="Times New Roman"/>
          <w:sz w:val="24"/>
          <w:szCs w:val="24"/>
        </w:rPr>
        <w:lastRenderedPageBreak/>
        <w:t>can lead to early life stress that can negatively impact health outcomes, including cardiovascular disease, cancer, asthma, and autoimmune conditions, to name a few.</w:t>
      </w:r>
      <w:r>
        <w:rPr>
          <w:rFonts w:ascii="Times New Roman" w:eastAsia="Times New Roman" w:hAnsi="Times New Roman" w:cs="Times New Roman"/>
          <w:sz w:val="24"/>
          <w:szCs w:val="24"/>
          <w:vertAlign w:val="superscript"/>
        </w:rPr>
        <w:footnoteReference w:id="21"/>
      </w:r>
      <w:r>
        <w:rPr>
          <w:rFonts w:ascii="Times New Roman" w:eastAsia="Times New Roman" w:hAnsi="Times New Roman" w:cs="Times New Roman"/>
          <w:sz w:val="24"/>
          <w:szCs w:val="24"/>
        </w:rPr>
        <w:t xml:space="preserve">Furthermore, </w:t>
      </w:r>
      <w:r>
        <w:rPr>
          <w:rFonts w:ascii="Times New Roman" w:eastAsia="Times New Roman" w:hAnsi="Times New Roman" w:cs="Times New Roman"/>
          <w:sz w:val="24"/>
          <w:szCs w:val="24"/>
          <w:highlight w:val="white"/>
        </w:rPr>
        <w:t>limited access to fresh and nutritious foods can lead to an increased reliance on processed and unhealthy options, which in turn contributes to a higher prevalence of diet-related health issues such as _ obesity, diabetes, and heart disease.</w:t>
      </w:r>
      <w:r>
        <w:rPr>
          <w:rFonts w:ascii="Times New Roman" w:eastAsia="Times New Roman" w:hAnsi="Times New Roman" w:cs="Times New Roman"/>
          <w:sz w:val="24"/>
          <w:szCs w:val="24"/>
          <w:highlight w:val="white"/>
          <w:vertAlign w:val="superscript"/>
        </w:rPr>
        <w:footnoteReference w:id="22"/>
      </w:r>
      <w:r>
        <w:rPr>
          <w:rFonts w:ascii="Times New Roman" w:eastAsia="Times New Roman" w:hAnsi="Times New Roman" w:cs="Times New Roman"/>
          <w:sz w:val="24"/>
          <w:szCs w:val="24"/>
          <w:highlight w:val="white"/>
        </w:rPr>
        <w:t xml:space="preserve">  </w:t>
      </w:r>
    </w:p>
    <w:p w14:paraId="0000001D" w14:textId="77777777" w:rsidR="009F6D43" w:rsidRDefault="009F6D43">
      <w:pPr>
        <w:jc w:val="both"/>
        <w:rPr>
          <w:rFonts w:ascii="Times New Roman" w:eastAsia="Times New Roman" w:hAnsi="Times New Roman" w:cs="Times New Roman"/>
          <w:sz w:val="24"/>
          <w:szCs w:val="24"/>
          <w:highlight w:val="white"/>
        </w:rPr>
      </w:pPr>
    </w:p>
    <w:p w14:paraId="0000001E" w14:textId="77777777" w:rsidR="009F6D43" w:rsidRDefault="0000000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AB 1961 establishes a broadly inclusive task force that will work to develop statewide goals, strategies, and solutions to tackle the inequalities that exist in our current food system and improve access to nutritious and affordable food in all communities. We thank you for authoring this critical measure and urges your colleagues to support it. </w:t>
      </w:r>
    </w:p>
    <w:p w14:paraId="0000001F" w14:textId="77777777" w:rsidR="009F6D43" w:rsidRDefault="009F6D43">
      <w:pPr>
        <w:jc w:val="both"/>
        <w:rPr>
          <w:rFonts w:ascii="Times New Roman" w:eastAsia="Times New Roman" w:hAnsi="Times New Roman" w:cs="Times New Roman"/>
          <w:sz w:val="24"/>
          <w:szCs w:val="24"/>
          <w:highlight w:val="white"/>
        </w:rPr>
      </w:pPr>
    </w:p>
    <w:p w14:paraId="00000020" w14:textId="77777777" w:rsidR="009F6D43" w:rsidRDefault="009F6D43">
      <w:pPr>
        <w:jc w:val="both"/>
        <w:rPr>
          <w:rFonts w:ascii="Times New Roman" w:eastAsia="Times New Roman" w:hAnsi="Times New Roman" w:cs="Times New Roman"/>
          <w:sz w:val="24"/>
          <w:szCs w:val="24"/>
          <w:highlight w:val="white"/>
        </w:rPr>
      </w:pPr>
    </w:p>
    <w:p w14:paraId="00000021" w14:textId="77777777" w:rsidR="009F6D43" w:rsidRDefault="0000000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Sincerely, </w:t>
      </w:r>
    </w:p>
    <w:p w14:paraId="00000022" w14:textId="77777777" w:rsidR="009F6D43" w:rsidRDefault="00000000">
      <w:pPr>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 xml:space="preserve">(Signature) </w:t>
      </w:r>
    </w:p>
    <w:p w14:paraId="00000023" w14:textId="77777777" w:rsidR="009F6D43" w:rsidRDefault="00000000">
      <w:pPr>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 xml:space="preserve">(Name, title, organization) </w:t>
      </w:r>
    </w:p>
    <w:p w14:paraId="00000024" w14:textId="77777777" w:rsidR="009F6D43" w:rsidRDefault="009F6D43">
      <w:pPr>
        <w:jc w:val="both"/>
        <w:rPr>
          <w:rFonts w:ascii="Times New Roman" w:eastAsia="Times New Roman" w:hAnsi="Times New Roman" w:cs="Times New Roman"/>
          <w:i/>
          <w:sz w:val="24"/>
          <w:szCs w:val="24"/>
        </w:rPr>
      </w:pPr>
    </w:p>
    <w:p w14:paraId="00000025" w14:textId="77777777" w:rsidR="009F6D43" w:rsidRDefault="009F6D43">
      <w:pPr>
        <w:rPr>
          <w:sz w:val="24"/>
          <w:szCs w:val="24"/>
        </w:rPr>
      </w:pPr>
    </w:p>
    <w:sectPr w:rsidR="009F6D43">
      <w:headerReference w:type="default" r:id="rId7"/>
      <w:headerReference w:type="first" r:id="rId8"/>
      <w:footerReference w:type="first" r:id="rId9"/>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83B153" w14:textId="77777777" w:rsidR="00484515" w:rsidRDefault="00484515">
      <w:pPr>
        <w:spacing w:line="240" w:lineRule="auto"/>
      </w:pPr>
      <w:r>
        <w:separator/>
      </w:r>
    </w:p>
  </w:endnote>
  <w:endnote w:type="continuationSeparator" w:id="0">
    <w:p w14:paraId="10F3F342" w14:textId="77777777" w:rsidR="00484515" w:rsidRDefault="004845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embedRegular r:id="rId1" w:fontKey="{47503E13-EA18-324A-B7CD-D939648F232C}"/>
    <w:embedItalic r:id="rId2" w:fontKey="{CE37CD99-DB94-5B4C-9963-2BD8D4739880}"/>
  </w:font>
  <w:font w:name="Aptos Display">
    <w:panose1 w:val="020B0004020202020204"/>
    <w:charset w:val="00"/>
    <w:family w:val="swiss"/>
    <w:pitch w:val="variable"/>
    <w:sig w:usb0="20000287" w:usb1="00000003" w:usb2="00000000" w:usb3="00000000" w:csb0="0000019F" w:csb1="00000000"/>
    <w:embedRegular r:id="rId3" w:fontKey="{A0A62030-BE9F-1744-9FA7-9CE7344B8953}"/>
  </w:font>
  <w:font w:name="Times New Roman">
    <w:panose1 w:val="02020603050405020304"/>
    <w:charset w:val="00"/>
    <w:family w:val="roman"/>
    <w:pitch w:val="variable"/>
    <w:sig w:usb0="E0002EFF" w:usb1="C000785B" w:usb2="00000009" w:usb3="00000000" w:csb0="000001FF" w:csb1="00000000"/>
    <w:embedRegular r:id="rId4" w:fontKey="{EFC91A09-854B-8949-8356-35EB6ACC85E4}"/>
    <w:embedBold r:id="rId5" w:fontKey="{C8FE3572-5A22-5148-8B67-D47E70A0B3B2}"/>
    <w:embedItalic r:id="rId6" w:fontKey="{296FAAAB-D255-C04A-A3A7-6DF0E200024B}"/>
  </w:font>
  <w:font w:name="Roboto">
    <w:panose1 w:val="02000000000000000000"/>
    <w:charset w:val="00"/>
    <w:family w:val="auto"/>
    <w:pitch w:val="variable"/>
    <w:sig w:usb0="E0000AFF" w:usb1="5000217F" w:usb2="00000021" w:usb3="00000000" w:csb0="0000019F" w:csb1="00000000"/>
    <w:embedRegular r:id="rId7" w:fontKey="{6F28CD6A-E4B7-1647-82B2-B165F504E8F7}"/>
  </w:font>
  <w:font w:name="Aptos">
    <w:panose1 w:val="020B0004020202020204"/>
    <w:charset w:val="00"/>
    <w:family w:val="swiss"/>
    <w:pitch w:val="variable"/>
    <w:sig w:usb0="20000287" w:usb1="00000003" w:usb2="00000000" w:usb3="00000000" w:csb0="0000019F" w:csb1="00000000"/>
    <w:embedRegular r:id="rId8" w:fontKey="{288340AE-940F-F146-9AD1-76DB4144555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42" w14:textId="77777777" w:rsidR="009F6D43" w:rsidRDefault="009F6D4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B08B00" w14:textId="77777777" w:rsidR="00484515" w:rsidRDefault="00484515">
      <w:pPr>
        <w:spacing w:line="240" w:lineRule="auto"/>
      </w:pPr>
      <w:r>
        <w:separator/>
      </w:r>
    </w:p>
  </w:footnote>
  <w:footnote w:type="continuationSeparator" w:id="0">
    <w:p w14:paraId="43F193D4" w14:textId="77777777" w:rsidR="00484515" w:rsidRDefault="00484515">
      <w:pPr>
        <w:spacing w:line="240" w:lineRule="auto"/>
      </w:pPr>
      <w:r>
        <w:continuationSeparator/>
      </w:r>
    </w:p>
  </w:footnote>
  <w:footnote w:id="1">
    <w:p w14:paraId="00000026" w14:textId="77777777" w:rsidR="009F6D43" w:rsidRDefault="00000000">
      <w:pPr>
        <w:pBdr>
          <w:top w:val="nil"/>
          <w:left w:val="nil"/>
          <w:bottom w:val="nil"/>
          <w:right w:val="nil"/>
          <w:between w:val="nil"/>
        </w:pBdr>
        <w:spacing w:line="240" w:lineRule="auto"/>
        <w:rPr>
          <w:color w:val="000000"/>
          <w:sz w:val="20"/>
          <w:szCs w:val="20"/>
        </w:rPr>
      </w:pPr>
      <w:r>
        <w:rPr>
          <w:rStyle w:val="FootnoteReference"/>
        </w:rPr>
        <w:footnoteRef/>
      </w:r>
      <w:r>
        <w:rPr>
          <w:color w:val="000000"/>
          <w:sz w:val="20"/>
          <w:szCs w:val="20"/>
        </w:rPr>
        <w:t xml:space="preserve"> </w:t>
      </w:r>
      <w:hyperlink r:id="rId1">
        <w:r>
          <w:rPr>
            <w:color w:val="1155CC"/>
            <w:sz w:val="20"/>
            <w:szCs w:val="20"/>
            <w:u w:val="single"/>
          </w:rPr>
          <w:t>https://californialocal.com/localnews/statewide/ca/article/show/36707-california-agriculture-dairy-wheat-fruit-vegetables/</w:t>
        </w:r>
      </w:hyperlink>
    </w:p>
  </w:footnote>
  <w:footnote w:id="2">
    <w:p w14:paraId="00000027" w14:textId="77777777" w:rsidR="009F6D43" w:rsidRDefault="00000000">
      <w:pPr>
        <w:pBdr>
          <w:top w:val="nil"/>
          <w:left w:val="nil"/>
          <w:bottom w:val="nil"/>
          <w:right w:val="nil"/>
          <w:between w:val="nil"/>
        </w:pBdr>
        <w:spacing w:line="240" w:lineRule="auto"/>
        <w:rPr>
          <w:color w:val="000000"/>
          <w:sz w:val="20"/>
          <w:szCs w:val="20"/>
        </w:rPr>
      </w:pPr>
      <w:r>
        <w:rPr>
          <w:rStyle w:val="FootnoteReference"/>
        </w:rPr>
        <w:footnoteRef/>
      </w:r>
      <w:r>
        <w:rPr>
          <w:color w:val="000000"/>
          <w:sz w:val="20"/>
          <w:szCs w:val="20"/>
        </w:rPr>
        <w:t xml:space="preserve"> </w:t>
      </w:r>
      <w:hyperlink r:id="rId2">
        <w:r>
          <w:rPr>
            <w:color w:val="1155CC"/>
            <w:sz w:val="20"/>
            <w:szCs w:val="20"/>
            <w:u w:val="single"/>
          </w:rPr>
          <w:t>https://www.marinij.com/2020/11/27/garden-tip-californias-rice-growing-region-sacramento/</w:t>
        </w:r>
      </w:hyperlink>
    </w:p>
  </w:footnote>
  <w:footnote w:id="3">
    <w:p w14:paraId="00000028" w14:textId="77777777" w:rsidR="009F6D43" w:rsidRDefault="00000000">
      <w:pPr>
        <w:pBdr>
          <w:top w:val="nil"/>
          <w:left w:val="nil"/>
          <w:bottom w:val="nil"/>
          <w:right w:val="nil"/>
          <w:between w:val="nil"/>
        </w:pBdr>
        <w:spacing w:line="240" w:lineRule="auto"/>
        <w:rPr>
          <w:color w:val="000000"/>
          <w:sz w:val="20"/>
          <w:szCs w:val="20"/>
        </w:rPr>
      </w:pPr>
      <w:r>
        <w:rPr>
          <w:rStyle w:val="FootnoteReference"/>
        </w:rPr>
        <w:footnoteRef/>
      </w:r>
      <w:r>
        <w:rPr>
          <w:color w:val="000000"/>
          <w:sz w:val="20"/>
          <w:szCs w:val="20"/>
        </w:rPr>
        <w:t xml:space="preserve"> </w:t>
      </w:r>
      <w:hyperlink r:id="rId3" w:anchor=":~:text=producer%20of%20cheese.-,The,is%20the%20second%20largest%20producer">
        <w:r>
          <w:rPr>
            <w:color w:val="1155CC"/>
            <w:sz w:val="20"/>
            <w:szCs w:val="20"/>
            <w:u w:val="single"/>
          </w:rPr>
          <w:t>https://www.statista.com/statistics/195764/top-10-us-states-for-cheese-production-2008/#:~:text=producer%20of%20cheese.-,The,is%20the%20second%20largest%20producer</w:t>
        </w:r>
      </w:hyperlink>
    </w:p>
  </w:footnote>
  <w:footnote w:id="4">
    <w:p w14:paraId="00000029" w14:textId="77777777" w:rsidR="009F6D43" w:rsidRDefault="00000000">
      <w:pPr>
        <w:pBdr>
          <w:top w:val="nil"/>
          <w:left w:val="nil"/>
          <w:bottom w:val="nil"/>
          <w:right w:val="nil"/>
          <w:between w:val="nil"/>
        </w:pBdr>
        <w:spacing w:line="240" w:lineRule="auto"/>
        <w:rPr>
          <w:color w:val="000000"/>
          <w:sz w:val="20"/>
          <w:szCs w:val="20"/>
        </w:rPr>
      </w:pPr>
      <w:r>
        <w:rPr>
          <w:rStyle w:val="FootnoteReference"/>
        </w:rPr>
        <w:footnoteRef/>
      </w:r>
      <w:r>
        <w:rPr>
          <w:color w:val="000000"/>
          <w:sz w:val="20"/>
          <w:szCs w:val="20"/>
        </w:rPr>
        <w:t xml:space="preserve"> </w:t>
      </w:r>
      <w:hyperlink r:id="rId4">
        <w:r>
          <w:rPr>
            <w:color w:val="1155CC"/>
            <w:sz w:val="20"/>
            <w:szCs w:val="20"/>
            <w:u w:val="single"/>
          </w:rPr>
          <w:t>https://www.cafoodbanks.org/hunger-data-reports/</w:t>
        </w:r>
      </w:hyperlink>
    </w:p>
  </w:footnote>
  <w:footnote w:id="5">
    <w:p w14:paraId="0000002A" w14:textId="77777777" w:rsidR="009F6D43" w:rsidRDefault="00000000">
      <w:pPr>
        <w:spacing w:line="240" w:lineRule="auto"/>
        <w:rPr>
          <w:sz w:val="20"/>
          <w:szCs w:val="20"/>
        </w:rPr>
      </w:pPr>
      <w:r>
        <w:rPr>
          <w:rStyle w:val="FootnoteReference"/>
        </w:rPr>
        <w:footnoteRef/>
      </w:r>
      <w:r>
        <w:rPr>
          <w:sz w:val="20"/>
          <w:szCs w:val="20"/>
        </w:rPr>
        <w:t xml:space="preserve"> </w:t>
      </w:r>
      <w:hyperlink r:id="rId5">
        <w:r>
          <w:rPr>
            <w:color w:val="1155CC"/>
            <w:sz w:val="20"/>
            <w:szCs w:val="20"/>
            <w:u w:val="single"/>
          </w:rPr>
          <w:t>https://www.cafoodbanks.org/hunger-data-reports/</w:t>
        </w:r>
      </w:hyperlink>
      <w:r>
        <w:rPr>
          <w:sz w:val="20"/>
          <w:szCs w:val="20"/>
        </w:rPr>
        <w:t xml:space="preserve"> </w:t>
      </w:r>
    </w:p>
  </w:footnote>
  <w:footnote w:id="6">
    <w:p w14:paraId="0000002B" w14:textId="77777777" w:rsidR="009F6D43" w:rsidRDefault="00000000">
      <w:pPr>
        <w:spacing w:line="240" w:lineRule="auto"/>
        <w:rPr>
          <w:sz w:val="18"/>
          <w:szCs w:val="18"/>
        </w:rPr>
      </w:pPr>
      <w:r>
        <w:rPr>
          <w:rStyle w:val="FootnoteReference"/>
        </w:rPr>
        <w:footnoteRef/>
      </w:r>
      <w:hyperlink r:id="rId6">
        <w:r>
          <w:rPr>
            <w:rFonts w:ascii="Roboto" w:eastAsia="Roboto" w:hAnsi="Roboto" w:cs="Roboto"/>
            <w:color w:val="0B57D0"/>
            <w:sz w:val="19"/>
            <w:szCs w:val="19"/>
            <w:highlight w:val="white"/>
            <w:u w:val="single"/>
          </w:rPr>
          <w:t>https://nature.berkeley.edu/news/2019/06/restoring-access-native-foods-can-reduce-food-insecurity</w:t>
        </w:r>
      </w:hyperlink>
    </w:p>
  </w:footnote>
  <w:footnote w:id="7">
    <w:p w14:paraId="0000002C" w14:textId="77777777" w:rsidR="009F6D43" w:rsidRDefault="00000000">
      <w:pPr>
        <w:widowControl w:val="0"/>
        <w:spacing w:line="240" w:lineRule="auto"/>
        <w:rPr>
          <w:rFonts w:ascii="Times New Roman" w:eastAsia="Times New Roman" w:hAnsi="Times New Roman" w:cs="Times New Roman"/>
        </w:rPr>
      </w:pPr>
      <w:r>
        <w:rPr>
          <w:rStyle w:val="FootnoteReference"/>
        </w:rPr>
        <w:footnoteRef/>
      </w:r>
      <w:r>
        <w:rPr>
          <w:rFonts w:ascii="Times New Roman" w:eastAsia="Times New Roman" w:hAnsi="Times New Roman" w:cs="Times New Roman"/>
        </w:rPr>
        <w:t xml:space="preserve"> </w:t>
      </w:r>
      <w:hyperlink r:id="rId7">
        <w:r>
          <w:rPr>
            <w:rFonts w:ascii="Times New Roman" w:eastAsia="Times New Roman" w:hAnsi="Times New Roman" w:cs="Times New Roman"/>
            <w:color w:val="1155CC"/>
            <w:u w:val="single"/>
          </w:rPr>
          <w:t>https://foodchainworkers.org/wp-content/uploads/2012/06/Hands-That-Feed-Us-Report.pdf</w:t>
        </w:r>
      </w:hyperlink>
      <w:r>
        <w:rPr>
          <w:rFonts w:ascii="Times New Roman" w:eastAsia="Times New Roman" w:hAnsi="Times New Roman" w:cs="Times New Roman"/>
        </w:rPr>
        <w:t xml:space="preserve"> </w:t>
      </w:r>
    </w:p>
  </w:footnote>
  <w:footnote w:id="8">
    <w:p w14:paraId="0000002D" w14:textId="77777777" w:rsidR="009F6D43" w:rsidRDefault="00000000">
      <w:pPr>
        <w:widowControl w:val="0"/>
        <w:spacing w:line="240" w:lineRule="auto"/>
        <w:rPr>
          <w:rFonts w:ascii="Times New Roman" w:eastAsia="Times New Roman" w:hAnsi="Times New Roman" w:cs="Times New Roman"/>
          <w:sz w:val="20"/>
          <w:szCs w:val="20"/>
        </w:rPr>
      </w:pPr>
      <w:r>
        <w:rPr>
          <w:rStyle w:val="FootnoteReference"/>
        </w:rPr>
        <w:footnoteRef/>
      </w:r>
      <w:hyperlink r:id="rId8">
        <w:r>
          <w:rPr>
            <w:rFonts w:ascii="Times New Roman" w:eastAsia="Times New Roman" w:hAnsi="Times New Roman" w:cs="Times New Roman"/>
            <w:sz w:val="20"/>
            <w:szCs w:val="20"/>
          </w:rPr>
          <w:t>http://covid19farmworkerstudy.org/survey/wp-content/uploads/2021/02/CA-COFS-Phase-One-Final-Report.pdf</w:t>
        </w:r>
      </w:hyperlink>
      <w:r>
        <w:rPr>
          <w:rFonts w:ascii="Times New Roman" w:eastAsia="Times New Roman" w:hAnsi="Times New Roman" w:cs="Times New Roman"/>
          <w:sz w:val="20"/>
          <w:szCs w:val="20"/>
        </w:rPr>
        <w:t xml:space="preserve">  </w:t>
      </w:r>
    </w:p>
  </w:footnote>
  <w:footnote w:id="9">
    <w:p w14:paraId="0000002E" w14:textId="77777777" w:rsidR="009F6D43" w:rsidRDefault="00000000">
      <w:pPr>
        <w:spacing w:line="240" w:lineRule="auto"/>
        <w:rPr>
          <w:sz w:val="20"/>
          <w:szCs w:val="20"/>
        </w:rPr>
      </w:pPr>
      <w:r>
        <w:rPr>
          <w:rStyle w:val="FootnoteReference"/>
        </w:rPr>
        <w:footnoteRef/>
      </w:r>
      <w:r>
        <w:rPr>
          <w:sz w:val="20"/>
          <w:szCs w:val="20"/>
        </w:rPr>
        <w:t xml:space="preserve"> </w:t>
      </w:r>
      <w:hyperlink r:id="rId9">
        <w:r>
          <w:rPr>
            <w:color w:val="1155CC"/>
            <w:sz w:val="20"/>
            <w:szCs w:val="20"/>
            <w:u w:val="single"/>
          </w:rPr>
          <w:t>https://www.ers.usda.gov/webdocs/publications/45014/30940_err140.pdf</w:t>
        </w:r>
      </w:hyperlink>
      <w:r>
        <w:rPr>
          <w:sz w:val="20"/>
          <w:szCs w:val="20"/>
        </w:rPr>
        <w:t xml:space="preserve"> </w:t>
      </w:r>
    </w:p>
  </w:footnote>
  <w:footnote w:id="10">
    <w:p w14:paraId="0000002F" w14:textId="77777777" w:rsidR="009F6D43" w:rsidRDefault="00000000">
      <w:pPr>
        <w:spacing w:line="240" w:lineRule="auto"/>
        <w:rPr>
          <w:sz w:val="20"/>
          <w:szCs w:val="20"/>
        </w:rPr>
      </w:pPr>
      <w:r>
        <w:rPr>
          <w:rStyle w:val="FootnoteReference"/>
        </w:rPr>
        <w:footnoteRef/>
      </w:r>
      <w:r>
        <w:rPr>
          <w:sz w:val="20"/>
          <w:szCs w:val="20"/>
        </w:rPr>
        <w:t xml:space="preserve"> </w:t>
      </w:r>
      <w:hyperlink r:id="rId10">
        <w:r>
          <w:rPr>
            <w:color w:val="1155CC"/>
            <w:sz w:val="20"/>
            <w:szCs w:val="20"/>
            <w:u w:val="single"/>
          </w:rPr>
          <w:t>https://abc7news.com/food-desert-bay-area-deserts-pantry-near-me-alameda-bank/11254529/</w:t>
        </w:r>
      </w:hyperlink>
      <w:r>
        <w:rPr>
          <w:sz w:val="20"/>
          <w:szCs w:val="20"/>
        </w:rPr>
        <w:t xml:space="preserve"> </w:t>
      </w:r>
    </w:p>
  </w:footnote>
  <w:footnote w:id="11">
    <w:p w14:paraId="00000030" w14:textId="77777777" w:rsidR="009F6D43" w:rsidRDefault="00000000">
      <w:pPr>
        <w:spacing w:line="240" w:lineRule="auto"/>
        <w:rPr>
          <w:sz w:val="20"/>
          <w:szCs w:val="20"/>
        </w:rPr>
      </w:pPr>
      <w:r>
        <w:rPr>
          <w:rStyle w:val="FootnoteReference"/>
        </w:rPr>
        <w:footnoteRef/>
      </w:r>
      <w:r>
        <w:rPr>
          <w:sz w:val="20"/>
          <w:szCs w:val="20"/>
        </w:rPr>
        <w:t xml:space="preserve"> </w:t>
      </w:r>
      <w:hyperlink r:id="rId11">
        <w:r>
          <w:rPr>
            <w:color w:val="1155CC"/>
            <w:sz w:val="20"/>
            <w:szCs w:val="20"/>
            <w:u w:val="single"/>
          </w:rPr>
          <w:t>https://gvwire.com/2023/09/29/the-huge-battle-against-food-deserts-in-fresno/</w:t>
        </w:r>
      </w:hyperlink>
      <w:r>
        <w:rPr>
          <w:sz w:val="20"/>
          <w:szCs w:val="20"/>
        </w:rPr>
        <w:t xml:space="preserve"> </w:t>
      </w:r>
    </w:p>
  </w:footnote>
  <w:footnote w:id="12">
    <w:p w14:paraId="00000031" w14:textId="77777777" w:rsidR="009F6D43" w:rsidRDefault="00000000">
      <w:pPr>
        <w:pBdr>
          <w:top w:val="nil"/>
          <w:left w:val="nil"/>
          <w:bottom w:val="nil"/>
          <w:right w:val="nil"/>
          <w:between w:val="nil"/>
        </w:pBdr>
        <w:spacing w:line="240" w:lineRule="auto"/>
        <w:rPr>
          <w:color w:val="000000"/>
          <w:sz w:val="20"/>
          <w:szCs w:val="20"/>
        </w:rPr>
      </w:pPr>
      <w:r>
        <w:rPr>
          <w:rStyle w:val="FootnoteReference"/>
        </w:rPr>
        <w:footnoteRef/>
      </w:r>
      <w:r>
        <w:rPr>
          <w:color w:val="000000"/>
          <w:sz w:val="20"/>
          <w:szCs w:val="20"/>
        </w:rPr>
        <w:t xml:space="preserve"> </w:t>
      </w:r>
      <w:hyperlink r:id="rId12" w:anchor=":~:text=Grocery%20store%20owners%20avoid%20opening,characteristics%20that%20scare%20off%20retailers">
        <w:r>
          <w:rPr>
            <w:color w:val="0000FF"/>
            <w:sz w:val="20"/>
            <w:szCs w:val="20"/>
            <w:u w:val="single"/>
          </w:rPr>
          <w:t>https://thehumaneleague.org/article/food-desert#:~:text=Grocery%20store%20owners%20avoid%20opening,characteristics%20that%20scare%20off%20retailers</w:t>
        </w:r>
      </w:hyperlink>
      <w:r>
        <w:rPr>
          <w:color w:val="000000"/>
          <w:sz w:val="20"/>
          <w:szCs w:val="20"/>
        </w:rPr>
        <w:t xml:space="preserve"> </w:t>
      </w:r>
    </w:p>
  </w:footnote>
  <w:footnote w:id="13">
    <w:p w14:paraId="00000032" w14:textId="77777777" w:rsidR="009F6D43" w:rsidRDefault="00000000">
      <w:pPr>
        <w:spacing w:line="240" w:lineRule="auto"/>
        <w:rPr>
          <w:sz w:val="20"/>
          <w:szCs w:val="20"/>
        </w:rPr>
      </w:pPr>
      <w:r>
        <w:rPr>
          <w:rStyle w:val="FootnoteReference"/>
        </w:rPr>
        <w:footnoteRef/>
      </w:r>
      <w:r>
        <w:rPr>
          <w:color w:val="1155CC"/>
          <w:highlight w:val="white"/>
          <w:u w:val="single"/>
        </w:rPr>
        <w:t>https://www.wsj.com/economy/consumers/its-been-30-years-since-food-ate-up-this-much-of-your-income-2e3dd3ed</w:t>
      </w:r>
    </w:p>
  </w:footnote>
  <w:footnote w:id="14">
    <w:p w14:paraId="00000033" w14:textId="77777777" w:rsidR="009F6D43" w:rsidRDefault="00000000">
      <w:pPr>
        <w:spacing w:line="240" w:lineRule="auto"/>
        <w:rPr>
          <w:sz w:val="20"/>
          <w:szCs w:val="20"/>
        </w:rPr>
      </w:pPr>
      <w:r>
        <w:rPr>
          <w:rStyle w:val="FootnoteReference"/>
        </w:rPr>
        <w:footnoteRef/>
      </w:r>
      <w:hyperlink r:id="rId13" w:anchor=":~:text=In%202022%2C%20food%20prices%20increased,prices%20increased%20by%207.7%20percent">
        <w:r>
          <w:rPr>
            <w:color w:val="1155CC"/>
            <w:sz w:val="20"/>
            <w:szCs w:val="20"/>
            <w:u w:val="single"/>
          </w:rPr>
          <w:t>https://www.ers.usda.gov/data-products/food-price-outlook/summary-findings/#:~:text=In%202022%2C%20food%20prices%20increased,prices%20increased%20by%207.7%20percent</w:t>
        </w:r>
      </w:hyperlink>
      <w:r>
        <w:rPr>
          <w:sz w:val="20"/>
          <w:szCs w:val="20"/>
        </w:rPr>
        <w:t xml:space="preserve"> </w:t>
      </w:r>
    </w:p>
  </w:footnote>
  <w:footnote w:id="15">
    <w:p w14:paraId="00000034" w14:textId="77777777" w:rsidR="009F6D43" w:rsidRDefault="00000000">
      <w:pPr>
        <w:spacing w:line="240" w:lineRule="auto"/>
        <w:rPr>
          <w:sz w:val="20"/>
          <w:szCs w:val="20"/>
        </w:rPr>
      </w:pPr>
      <w:r>
        <w:rPr>
          <w:rStyle w:val="FootnoteReference"/>
        </w:rPr>
        <w:footnoteRef/>
      </w:r>
      <w:hyperlink r:id="rId14">
        <w:r>
          <w:rPr>
            <w:color w:val="1155CC"/>
            <w:sz w:val="20"/>
            <w:szCs w:val="20"/>
            <w:u w:val="single"/>
          </w:rPr>
          <w:t>https://apnews.com/article/inflation-consumers-price-gouging-spending-economy-999e81e2f869a0151e2ee6bbb63370af</w:t>
        </w:r>
      </w:hyperlink>
      <w:r>
        <w:rPr>
          <w:sz w:val="20"/>
          <w:szCs w:val="20"/>
        </w:rPr>
        <w:t xml:space="preserve"> </w:t>
      </w:r>
    </w:p>
  </w:footnote>
  <w:footnote w:id="16">
    <w:p w14:paraId="00000035" w14:textId="77777777" w:rsidR="009F6D43" w:rsidRDefault="00000000">
      <w:pPr>
        <w:pBdr>
          <w:top w:val="nil"/>
          <w:left w:val="nil"/>
          <w:bottom w:val="nil"/>
          <w:right w:val="nil"/>
          <w:between w:val="nil"/>
        </w:pBdr>
        <w:spacing w:line="240" w:lineRule="auto"/>
        <w:rPr>
          <w:color w:val="000000"/>
          <w:sz w:val="20"/>
          <w:szCs w:val="20"/>
        </w:rPr>
      </w:pPr>
      <w:r>
        <w:rPr>
          <w:rStyle w:val="FootnoteReference"/>
        </w:rPr>
        <w:footnoteRef/>
      </w:r>
      <w:r>
        <w:rPr>
          <w:color w:val="000000"/>
          <w:sz w:val="20"/>
          <w:szCs w:val="20"/>
        </w:rPr>
        <w:t xml:space="preserve"> </w:t>
      </w:r>
      <w:hyperlink r:id="rId15">
        <w:r>
          <w:rPr>
            <w:color w:val="0000FF"/>
            <w:sz w:val="20"/>
            <w:szCs w:val="20"/>
            <w:u w:val="single"/>
          </w:rPr>
          <w:t>https://fns-prod.azureedge.us/sites/default/files/resource-files/snap2019reaching.pdf</w:t>
        </w:r>
      </w:hyperlink>
      <w:r>
        <w:rPr>
          <w:color w:val="000000"/>
          <w:sz w:val="20"/>
          <w:szCs w:val="20"/>
        </w:rPr>
        <w:t xml:space="preserve">. </w:t>
      </w:r>
    </w:p>
  </w:footnote>
  <w:footnote w:id="17">
    <w:p w14:paraId="00000036" w14:textId="77777777" w:rsidR="009F6D43" w:rsidRDefault="00000000">
      <w:pPr>
        <w:pBdr>
          <w:top w:val="nil"/>
          <w:left w:val="nil"/>
          <w:bottom w:val="nil"/>
          <w:right w:val="nil"/>
          <w:between w:val="nil"/>
        </w:pBdr>
        <w:spacing w:line="240" w:lineRule="auto"/>
        <w:rPr>
          <w:color w:val="000000"/>
          <w:sz w:val="20"/>
          <w:szCs w:val="20"/>
        </w:rPr>
      </w:pPr>
      <w:r>
        <w:rPr>
          <w:rStyle w:val="FootnoteReference"/>
        </w:rPr>
        <w:footnoteRef/>
      </w:r>
      <w:r>
        <w:rPr>
          <w:color w:val="000000"/>
          <w:sz w:val="20"/>
          <w:szCs w:val="20"/>
        </w:rPr>
        <w:t xml:space="preserve"> </w:t>
      </w:r>
      <w:hyperlink r:id="rId16">
        <w:r>
          <w:rPr>
            <w:color w:val="0000FF"/>
            <w:sz w:val="20"/>
            <w:szCs w:val="20"/>
            <w:u w:val="single"/>
          </w:rPr>
          <w:t>https://www.ers.usda.gov/webdocs/publications/93529/err-265.pdf?v=6216.4</w:t>
        </w:r>
      </w:hyperlink>
      <w:r>
        <w:rPr>
          <w:color w:val="000000"/>
          <w:sz w:val="20"/>
          <w:szCs w:val="20"/>
        </w:rPr>
        <w:t xml:space="preserve">. </w:t>
      </w:r>
    </w:p>
  </w:footnote>
  <w:footnote w:id="18">
    <w:p w14:paraId="00000037" w14:textId="77777777" w:rsidR="009F6D43" w:rsidRDefault="00000000">
      <w:pPr>
        <w:pBdr>
          <w:top w:val="nil"/>
          <w:left w:val="nil"/>
          <w:bottom w:val="nil"/>
          <w:right w:val="nil"/>
          <w:between w:val="nil"/>
        </w:pBdr>
        <w:spacing w:line="240" w:lineRule="auto"/>
        <w:rPr>
          <w:color w:val="000000"/>
          <w:sz w:val="20"/>
          <w:szCs w:val="20"/>
        </w:rPr>
      </w:pPr>
      <w:r>
        <w:rPr>
          <w:rStyle w:val="FootnoteReference"/>
        </w:rPr>
        <w:footnoteRef/>
      </w:r>
      <w:r>
        <w:rPr>
          <w:color w:val="000000"/>
          <w:sz w:val="20"/>
          <w:szCs w:val="20"/>
        </w:rPr>
        <w:t xml:space="preserve"> </w:t>
      </w:r>
      <w:hyperlink r:id="rId17">
        <w:r>
          <w:rPr>
            <w:color w:val="0000FF"/>
            <w:sz w:val="20"/>
            <w:szCs w:val="20"/>
            <w:u w:val="single"/>
          </w:rPr>
          <w:t>https://www.fns.usda.gov/research/wic/eligibility-and-program-reach-estimates-2020</w:t>
        </w:r>
      </w:hyperlink>
      <w:r>
        <w:rPr>
          <w:color w:val="000000"/>
          <w:sz w:val="20"/>
          <w:szCs w:val="20"/>
        </w:rPr>
        <w:t xml:space="preserve">. While lower than </w:t>
      </w:r>
      <w:proofErr w:type="spellStart"/>
      <w:r>
        <w:rPr>
          <w:color w:val="000000"/>
          <w:sz w:val="20"/>
          <w:szCs w:val="20"/>
        </w:rPr>
        <w:t>CalFresh</w:t>
      </w:r>
      <w:proofErr w:type="spellEnd"/>
      <w:r>
        <w:rPr>
          <w:color w:val="000000"/>
          <w:sz w:val="20"/>
          <w:szCs w:val="20"/>
        </w:rPr>
        <w:t xml:space="preserve">, 65% does rank California higher among the states for WIC participation. </w:t>
      </w:r>
    </w:p>
  </w:footnote>
  <w:footnote w:id="19">
    <w:p w14:paraId="00000038" w14:textId="77777777" w:rsidR="009F6D43" w:rsidRDefault="00000000">
      <w:pPr>
        <w:pBdr>
          <w:top w:val="nil"/>
          <w:left w:val="nil"/>
          <w:bottom w:val="nil"/>
          <w:right w:val="nil"/>
          <w:between w:val="nil"/>
        </w:pBdr>
        <w:spacing w:line="240" w:lineRule="auto"/>
        <w:rPr>
          <w:color w:val="000000"/>
          <w:sz w:val="20"/>
          <w:szCs w:val="20"/>
        </w:rPr>
      </w:pPr>
      <w:r>
        <w:rPr>
          <w:rStyle w:val="FootnoteReference"/>
        </w:rPr>
        <w:footnoteRef/>
      </w:r>
      <w:r>
        <w:rPr>
          <w:color w:val="000000"/>
          <w:sz w:val="20"/>
          <w:szCs w:val="20"/>
        </w:rPr>
        <w:t xml:space="preserve"> </w:t>
      </w:r>
      <w:hyperlink r:id="rId18">
        <w:r>
          <w:rPr>
            <w:color w:val="0000FF"/>
            <w:sz w:val="20"/>
            <w:szCs w:val="20"/>
            <w:u w:val="single"/>
          </w:rPr>
          <w:t>https://frac.org/reach-report-2024</w:t>
        </w:r>
      </w:hyperlink>
      <w:r>
        <w:rPr>
          <w:color w:val="000000"/>
          <w:sz w:val="20"/>
          <w:szCs w:val="20"/>
        </w:rPr>
        <w:t xml:space="preserve">. </w:t>
      </w:r>
    </w:p>
  </w:footnote>
  <w:footnote w:id="20">
    <w:p w14:paraId="00000039" w14:textId="77777777" w:rsidR="009F6D43" w:rsidRDefault="00000000">
      <w:pPr>
        <w:spacing w:line="240" w:lineRule="auto"/>
        <w:rPr>
          <w:sz w:val="16"/>
          <w:szCs w:val="16"/>
        </w:rPr>
      </w:pPr>
      <w:r>
        <w:rPr>
          <w:rStyle w:val="FootnoteReference"/>
        </w:rPr>
        <w:footnoteRef/>
      </w:r>
      <w:hyperlink r:id="rId19" w:anchor=":~:text=Hunger%20and%20child%20development&amp;text=Research%20shows%20an%20association%20between,aggression%20in%20school%2Dage%20children">
        <w:r>
          <w:rPr>
            <w:color w:val="0000FF"/>
            <w:sz w:val="20"/>
            <w:szCs w:val="20"/>
            <w:u w:val="single"/>
          </w:rPr>
          <w:t>https://www.feedingamerica.org/hunger-in-america/impact-ofhunger#:~:text=Hunger%20and%20child%20development&amp;text=Research%20shows%20an%20association%20between,aggression%20in%20school%2Dage%20children</w:t>
        </w:r>
      </w:hyperlink>
      <w:r>
        <w:rPr>
          <w:sz w:val="16"/>
          <w:szCs w:val="16"/>
        </w:rPr>
        <w:t xml:space="preserve"> </w:t>
      </w:r>
    </w:p>
  </w:footnote>
  <w:footnote w:id="21">
    <w:p w14:paraId="0000003A" w14:textId="77777777" w:rsidR="009F6D43" w:rsidRDefault="00000000">
      <w:pPr>
        <w:spacing w:line="240" w:lineRule="auto"/>
        <w:rPr>
          <w:sz w:val="20"/>
          <w:szCs w:val="20"/>
        </w:rPr>
      </w:pPr>
      <w:r>
        <w:rPr>
          <w:rStyle w:val="FootnoteReference"/>
        </w:rPr>
        <w:footnoteRef/>
      </w:r>
      <w:r>
        <w:rPr>
          <w:sz w:val="20"/>
          <w:szCs w:val="20"/>
        </w:rPr>
        <w:t xml:space="preserve"> </w:t>
      </w:r>
      <w:hyperlink r:id="rId20">
        <w:r>
          <w:rPr>
            <w:color w:val="1155CC"/>
            <w:sz w:val="20"/>
            <w:szCs w:val="20"/>
            <w:u w:val="single"/>
          </w:rPr>
          <w:t>https://www.nokidhungry.org/blog/effects-of-hunger-on-the-body</w:t>
        </w:r>
      </w:hyperlink>
      <w:r>
        <w:rPr>
          <w:sz w:val="20"/>
          <w:szCs w:val="20"/>
        </w:rPr>
        <w:t xml:space="preserve"> </w:t>
      </w:r>
    </w:p>
  </w:footnote>
  <w:footnote w:id="22">
    <w:p w14:paraId="0000003B" w14:textId="77777777" w:rsidR="009F6D43" w:rsidRDefault="00000000">
      <w:pPr>
        <w:pBdr>
          <w:top w:val="nil"/>
          <w:left w:val="nil"/>
          <w:bottom w:val="nil"/>
          <w:right w:val="nil"/>
          <w:between w:val="nil"/>
        </w:pBdr>
        <w:spacing w:line="240" w:lineRule="auto"/>
        <w:rPr>
          <w:color w:val="000000"/>
          <w:sz w:val="20"/>
          <w:szCs w:val="20"/>
        </w:rPr>
      </w:pPr>
      <w:r>
        <w:rPr>
          <w:rStyle w:val="FootnoteReference"/>
        </w:rPr>
        <w:footnoteRef/>
      </w:r>
      <w:r>
        <w:rPr>
          <w:color w:val="000000"/>
          <w:sz w:val="20"/>
          <w:szCs w:val="20"/>
        </w:rPr>
        <w:t xml:space="preserve"> </w:t>
      </w:r>
      <w:hyperlink r:id="rId21">
        <w:r>
          <w:rPr>
            <w:color w:val="0000FF"/>
            <w:sz w:val="20"/>
            <w:szCs w:val="20"/>
            <w:u w:val="single"/>
          </w:rPr>
          <w:t>https://www.ncbi.nlm.nih.gov/pmc/articles/PMC9182982/</w:t>
        </w:r>
      </w:hyperlink>
      <w:r>
        <w:rPr>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3C" w14:textId="77777777" w:rsidR="009F6D43" w:rsidRDefault="009F6D4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3D" w14:textId="77777777" w:rsidR="009F6D43" w:rsidRDefault="00000000">
    <w:pPr>
      <w:spacing w:line="240" w:lineRule="auto"/>
      <w:jc w:val="cente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[ORGANIZATIONAL LETTERHEAD]</w:t>
    </w:r>
  </w:p>
  <w:p w14:paraId="0000003E" w14:textId="77777777" w:rsidR="009F6D43" w:rsidRDefault="009F6D43">
    <w:pPr>
      <w:spacing w:line="240" w:lineRule="auto"/>
      <w:jc w:val="center"/>
      <w:rPr>
        <w:rFonts w:ascii="Times New Roman" w:eastAsia="Times New Roman" w:hAnsi="Times New Roman" w:cs="Times New Roman"/>
        <w:sz w:val="24"/>
        <w:szCs w:val="24"/>
        <w:highlight w:val="yellow"/>
      </w:rPr>
    </w:pPr>
  </w:p>
  <w:p w14:paraId="0000003F" w14:textId="77777777" w:rsidR="009F6D4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Please upload to the California Legislative Portal: </w:t>
    </w:r>
    <w:hyperlink r:id="rId1">
      <w:r>
        <w:rPr>
          <w:rFonts w:ascii="Times New Roman" w:eastAsia="Times New Roman" w:hAnsi="Times New Roman" w:cs="Times New Roman"/>
          <w:color w:val="1155CC"/>
          <w:sz w:val="24"/>
          <w:szCs w:val="24"/>
          <w:u w:val="single"/>
        </w:rPr>
        <w:t>https://calegislation.lc.ca.gov/Advocates/</w:t>
      </w:r>
    </w:hyperlink>
    <w:r>
      <w:rPr>
        <w:rFonts w:ascii="Times New Roman" w:eastAsia="Times New Roman" w:hAnsi="Times New Roman" w:cs="Times New Roman"/>
        <w:sz w:val="24"/>
        <w:szCs w:val="24"/>
      </w:rPr>
      <w:t>.</w:t>
    </w:r>
  </w:p>
  <w:p w14:paraId="00000040" w14:textId="77777777" w:rsidR="009F6D43" w:rsidRDefault="009F6D43">
    <w:pPr>
      <w:spacing w:line="240" w:lineRule="auto"/>
      <w:jc w:val="center"/>
      <w:rPr>
        <w:rFonts w:ascii="Times New Roman" w:eastAsia="Times New Roman" w:hAnsi="Times New Roman" w:cs="Times New Roman"/>
        <w:sz w:val="24"/>
        <w:szCs w:val="24"/>
      </w:rPr>
    </w:pPr>
  </w:p>
  <w:p w14:paraId="00000041" w14:textId="77777777" w:rsidR="009F6D43" w:rsidRDefault="00000000">
    <w:pPr>
      <w:spacing w:line="240" w:lineRule="auto"/>
      <w:jc w:val="center"/>
    </w:pPr>
    <w:r>
      <w:rPr>
        <w:rFonts w:ascii="Times New Roman" w:eastAsia="Times New Roman" w:hAnsi="Times New Roman" w:cs="Times New Roman"/>
        <w:sz w:val="24"/>
        <w:szCs w:val="24"/>
      </w:rPr>
      <w:t xml:space="preserve">After submitting to the portal, please email a copy of your letter to Cameron Gadson in </w:t>
    </w:r>
    <w:proofErr w:type="spellStart"/>
    <w:r>
      <w:rPr>
        <w:rFonts w:ascii="Times New Roman" w:eastAsia="Times New Roman" w:hAnsi="Times New Roman" w:cs="Times New Roman"/>
        <w:sz w:val="24"/>
        <w:szCs w:val="24"/>
      </w:rPr>
      <w:t>Asm</w:t>
    </w:r>
    <w:proofErr w:type="spellEnd"/>
    <w:r>
      <w:rPr>
        <w:rFonts w:ascii="Times New Roman" w:eastAsia="Times New Roman" w:hAnsi="Times New Roman" w:cs="Times New Roman"/>
        <w:sz w:val="24"/>
        <w:szCs w:val="24"/>
      </w:rPr>
      <w:t xml:space="preserve"> Wicks office at </w:t>
    </w:r>
    <w:hyperlink r:id="rId2">
      <w:r>
        <w:rPr>
          <w:rFonts w:ascii="Times New Roman" w:eastAsia="Times New Roman" w:hAnsi="Times New Roman" w:cs="Times New Roman"/>
          <w:color w:val="1155CC"/>
          <w:sz w:val="24"/>
          <w:szCs w:val="24"/>
          <w:u w:val="single"/>
        </w:rPr>
        <w:t>cameron.gadson@asm.ca.gov</w:t>
      </w:r>
    </w:hyperlink>
    <w:r>
      <w:rPr>
        <w:rFonts w:ascii="Times New Roman" w:eastAsia="Times New Roman" w:hAnsi="Times New Roman" w:cs="Times New Roman"/>
        <w:sz w:val="24"/>
        <w:szCs w:val="24"/>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6D43"/>
    <w:rsid w:val="00484515"/>
    <w:rsid w:val="009F6D43"/>
    <w:rsid w:val="00EC25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D177CD"/>
  <w15:docId w15:val="{B948E35D-EE29-0D42-8CB3-FB02D37E7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3A1E"/>
  </w:style>
  <w:style w:type="paragraph" w:styleId="Heading1">
    <w:name w:val="heading 1"/>
    <w:basedOn w:val="Normal"/>
    <w:next w:val="Normal"/>
    <w:link w:val="Heading1Char"/>
    <w:uiPriority w:val="9"/>
    <w:qFormat/>
    <w:rsid w:val="00AA3A1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A3A1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A3A1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A3A1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A3A1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A3A1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A3A1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A3A1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A3A1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A3A1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AA3A1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A3A1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A3A1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A3A1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A3A1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A3A1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A3A1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A3A1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A3A1E"/>
    <w:rPr>
      <w:rFonts w:eastAsiaTheme="majorEastAsia" w:cstheme="majorBidi"/>
      <w:color w:val="272727" w:themeColor="text1" w:themeTint="D8"/>
    </w:rPr>
  </w:style>
  <w:style w:type="character" w:customStyle="1" w:styleId="TitleChar">
    <w:name w:val="Title Char"/>
    <w:basedOn w:val="DefaultParagraphFont"/>
    <w:link w:val="Title"/>
    <w:uiPriority w:val="10"/>
    <w:rsid w:val="00AA3A1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AA3A1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A3A1E"/>
    <w:pPr>
      <w:spacing w:before="160"/>
      <w:jc w:val="center"/>
    </w:pPr>
    <w:rPr>
      <w:i/>
      <w:iCs/>
      <w:color w:val="404040" w:themeColor="text1" w:themeTint="BF"/>
    </w:rPr>
  </w:style>
  <w:style w:type="character" w:customStyle="1" w:styleId="QuoteChar">
    <w:name w:val="Quote Char"/>
    <w:basedOn w:val="DefaultParagraphFont"/>
    <w:link w:val="Quote"/>
    <w:uiPriority w:val="29"/>
    <w:rsid w:val="00AA3A1E"/>
    <w:rPr>
      <w:i/>
      <w:iCs/>
      <w:color w:val="404040" w:themeColor="text1" w:themeTint="BF"/>
    </w:rPr>
  </w:style>
  <w:style w:type="paragraph" w:styleId="ListParagraph">
    <w:name w:val="List Paragraph"/>
    <w:basedOn w:val="Normal"/>
    <w:uiPriority w:val="34"/>
    <w:qFormat/>
    <w:rsid w:val="00AA3A1E"/>
    <w:pPr>
      <w:ind w:left="720"/>
      <w:contextualSpacing/>
    </w:pPr>
  </w:style>
  <w:style w:type="character" w:styleId="IntenseEmphasis">
    <w:name w:val="Intense Emphasis"/>
    <w:basedOn w:val="DefaultParagraphFont"/>
    <w:uiPriority w:val="21"/>
    <w:qFormat/>
    <w:rsid w:val="00AA3A1E"/>
    <w:rPr>
      <w:i/>
      <w:iCs/>
      <w:color w:val="0F4761" w:themeColor="accent1" w:themeShade="BF"/>
    </w:rPr>
  </w:style>
  <w:style w:type="paragraph" w:styleId="IntenseQuote">
    <w:name w:val="Intense Quote"/>
    <w:basedOn w:val="Normal"/>
    <w:next w:val="Normal"/>
    <w:link w:val="IntenseQuoteChar"/>
    <w:uiPriority w:val="30"/>
    <w:qFormat/>
    <w:rsid w:val="00AA3A1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A3A1E"/>
    <w:rPr>
      <w:i/>
      <w:iCs/>
      <w:color w:val="0F4761" w:themeColor="accent1" w:themeShade="BF"/>
    </w:rPr>
  </w:style>
  <w:style w:type="character" w:styleId="IntenseReference">
    <w:name w:val="Intense Reference"/>
    <w:basedOn w:val="DefaultParagraphFont"/>
    <w:uiPriority w:val="32"/>
    <w:qFormat/>
    <w:rsid w:val="00AA3A1E"/>
    <w:rPr>
      <w:b/>
      <w:bCs/>
      <w:smallCaps/>
      <w:color w:val="0F4761" w:themeColor="accent1" w:themeShade="BF"/>
      <w:spacing w:val="5"/>
    </w:rPr>
  </w:style>
  <w:style w:type="paragraph" w:styleId="FootnoteText">
    <w:name w:val="footnote text"/>
    <w:basedOn w:val="Normal"/>
    <w:link w:val="FootnoteTextChar"/>
    <w:uiPriority w:val="99"/>
    <w:semiHidden/>
    <w:unhideWhenUsed/>
    <w:rsid w:val="00AA3A1E"/>
    <w:pPr>
      <w:spacing w:line="240" w:lineRule="auto"/>
    </w:pPr>
    <w:rPr>
      <w:sz w:val="20"/>
      <w:szCs w:val="20"/>
    </w:rPr>
  </w:style>
  <w:style w:type="character" w:customStyle="1" w:styleId="FootnoteTextChar">
    <w:name w:val="Footnote Text Char"/>
    <w:basedOn w:val="DefaultParagraphFont"/>
    <w:link w:val="FootnoteText"/>
    <w:uiPriority w:val="99"/>
    <w:semiHidden/>
    <w:rsid w:val="00AA3A1E"/>
    <w:rPr>
      <w:rFonts w:ascii="Arial" w:eastAsia="Arial" w:hAnsi="Arial" w:cs="Arial"/>
      <w:kern w:val="0"/>
      <w:sz w:val="20"/>
      <w:szCs w:val="20"/>
    </w:rPr>
  </w:style>
  <w:style w:type="character" w:styleId="FootnoteReference">
    <w:name w:val="footnote reference"/>
    <w:basedOn w:val="DefaultParagraphFont"/>
    <w:uiPriority w:val="99"/>
    <w:semiHidden/>
    <w:unhideWhenUsed/>
    <w:rsid w:val="00AA3A1E"/>
    <w:rPr>
      <w:vertAlign w:val="superscript"/>
    </w:rPr>
  </w:style>
  <w:style w:type="character" w:styleId="Hyperlink">
    <w:name w:val="Hyperlink"/>
    <w:basedOn w:val="DefaultParagraphFont"/>
    <w:uiPriority w:val="99"/>
    <w:unhideWhenUsed/>
    <w:rsid w:val="00AA3A1E"/>
    <w:rPr>
      <w:color w:val="0000FF"/>
      <w:u w:val="single"/>
    </w:rPr>
  </w:style>
  <w:style w:type="character" w:styleId="UnresolvedMention">
    <w:name w:val="Unresolved Mention"/>
    <w:basedOn w:val="DefaultParagraphFont"/>
    <w:uiPriority w:val="99"/>
    <w:semiHidden/>
    <w:unhideWhenUsed/>
    <w:rsid w:val="001808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covid19farmworkerstudy.org/survey/wp-content/uploads/2021/02/CA-COFS-Phase-One-Final-Report.pdf" TargetMode="External"/><Relationship Id="rId13" Type="http://schemas.openxmlformats.org/officeDocument/2006/relationships/hyperlink" Target="https://www.ers.usda.gov/data-products/food-price-outlook/summary-findings/" TargetMode="External"/><Relationship Id="rId18" Type="http://schemas.openxmlformats.org/officeDocument/2006/relationships/hyperlink" Target="https://frac.org/reach-report-2024" TargetMode="External"/><Relationship Id="rId3" Type="http://schemas.openxmlformats.org/officeDocument/2006/relationships/hyperlink" Target="https://www.statista.com/statistics/195764/top-10-us-states-for-cheese-production-2008/" TargetMode="External"/><Relationship Id="rId21" Type="http://schemas.openxmlformats.org/officeDocument/2006/relationships/hyperlink" Target="https://www.ncbi.nlm.nih.gov/pmc/articles/PMC9182982/" TargetMode="External"/><Relationship Id="rId7" Type="http://schemas.openxmlformats.org/officeDocument/2006/relationships/hyperlink" Target="https://foodchainworkers.org/wp-content/uploads/2012/06/Hands-That-Feed-Us-Report.pdf" TargetMode="External"/><Relationship Id="rId12" Type="http://schemas.openxmlformats.org/officeDocument/2006/relationships/hyperlink" Target="https://thehumaneleague.org/article/food-desert" TargetMode="External"/><Relationship Id="rId17" Type="http://schemas.openxmlformats.org/officeDocument/2006/relationships/hyperlink" Target="https://www.fns.usda.gov/research/wic/eligibility-and-program-reach-estimates-2020" TargetMode="External"/><Relationship Id="rId2" Type="http://schemas.openxmlformats.org/officeDocument/2006/relationships/hyperlink" Target="https://www.marinij.com/2020/11/27/garden-tip-californias-rice-growing-region-sacramento/" TargetMode="External"/><Relationship Id="rId16" Type="http://schemas.openxmlformats.org/officeDocument/2006/relationships/hyperlink" Target="https://www.ers.usda.gov/webdocs/publications/93529/err-265.pdf?v=6216.4" TargetMode="External"/><Relationship Id="rId20" Type="http://schemas.openxmlformats.org/officeDocument/2006/relationships/hyperlink" Target="https://www.nokidhungry.org/blog/effects-of-hunger-on-the-body" TargetMode="External"/><Relationship Id="rId1" Type="http://schemas.openxmlformats.org/officeDocument/2006/relationships/hyperlink" Target="https://californialocal.com/localnews/statewide/ca/article/show/36707-california-agriculture-dairy-wheat-fruit-vegetables/" TargetMode="External"/><Relationship Id="rId6" Type="http://schemas.openxmlformats.org/officeDocument/2006/relationships/hyperlink" Target="https://nature.berkeley.edu/news/2019/06/restoring-access-native-foods-can-reduce-food-insecurity" TargetMode="External"/><Relationship Id="rId11" Type="http://schemas.openxmlformats.org/officeDocument/2006/relationships/hyperlink" Target="https://gvwire.com/2023/09/29/the-huge-battle-against-food-deserts-in-fresno/" TargetMode="External"/><Relationship Id="rId5" Type="http://schemas.openxmlformats.org/officeDocument/2006/relationships/hyperlink" Target="https://www.cafoodbanks.org/hunger-data-reports/" TargetMode="External"/><Relationship Id="rId15" Type="http://schemas.openxmlformats.org/officeDocument/2006/relationships/hyperlink" Target="https://fns-prod.azureedge.us/sites/default/files/resource-files/snap2019reaching.pdf" TargetMode="External"/><Relationship Id="rId10" Type="http://schemas.openxmlformats.org/officeDocument/2006/relationships/hyperlink" Target="https://abc7news.com/food-desert-bay-area-deserts-pantry-near-me-alameda-bank/11254529/" TargetMode="External"/><Relationship Id="rId19" Type="http://schemas.openxmlformats.org/officeDocument/2006/relationships/hyperlink" Target="https://www.feedingamerica.org/hunger-in-america/impact-ofhunger" TargetMode="External"/><Relationship Id="rId4" Type="http://schemas.openxmlformats.org/officeDocument/2006/relationships/hyperlink" Target="https://www.cafoodbanks.org/hunger-data-reports/" TargetMode="External"/><Relationship Id="rId9" Type="http://schemas.openxmlformats.org/officeDocument/2006/relationships/hyperlink" Target="https://www.ers.usda.gov/webdocs/publications/45014/30940_err140.pdf" TargetMode="External"/><Relationship Id="rId14" Type="http://schemas.openxmlformats.org/officeDocument/2006/relationships/hyperlink" Target="https://apnews.com/article/inflation-consumers-price-gouging-spending-economy-999e81e2f869a0151e2ee6bbb63370af"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mailto:cameron.gadson@asm.ca.gov" TargetMode="External"/><Relationship Id="rId1" Type="http://schemas.openxmlformats.org/officeDocument/2006/relationships/hyperlink" Target="https://calegislation.lc.ca.gov/Advocat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NNaDJkEd1b2MlpUR0BnRYyT3Ew==">CgMxLjAyCGguZ2pkZ3hzOAByITFtUExrMGJYSDZaQ1lwbGF0eXAtdHBZeEJUOUNGVlU4Sw==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1116</Words>
  <Characters>6367</Characters>
  <Application>Microsoft Office Word</Application>
  <DocSecurity>0</DocSecurity>
  <Lines>53</Lines>
  <Paragraphs>14</Paragraphs>
  <ScaleCrop>false</ScaleCrop>
  <Company/>
  <LinksUpToDate>false</LinksUpToDate>
  <CharactersWithSpaces>7469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Jaskiran Grewal</dc:creator>
  <cp:lastModifiedBy>Gabriela Davidson</cp:lastModifiedBy>
  <cp:revision>2</cp:revision>
  <dcterms:created xsi:type="dcterms:W3CDTF">2024-07-08T15:36:00Z</dcterms:created>
  <dcterms:modified xsi:type="dcterms:W3CDTF">2024-07-08T15:36:00Z</dcterms:modified>
</cp:coreProperties>
</file>